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32D1" w14:textId="12C19093" w:rsidR="001424E6" w:rsidRPr="00162B9B" w:rsidRDefault="002212BE" w:rsidP="009522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1418" w:right="1375" w:hanging="13"/>
        <w:jc w:val="both"/>
        <w:rPr>
          <w:rFonts w:ascii="Montserrat" w:eastAsia="Montserrat" w:hAnsi="Montserrat" w:cs="Montserrat"/>
          <w:b/>
          <w:color w:val="7F7F7F"/>
          <w:sz w:val="27"/>
          <w:szCs w:val="27"/>
          <w:lang w:val="en-US"/>
        </w:rPr>
      </w:pPr>
      <w:r w:rsidRPr="00162B9B">
        <w:rPr>
          <w:rFonts w:ascii="Montserrat" w:eastAsia="Montserrat" w:hAnsi="Montserrat" w:cs="Montserrat"/>
          <w:b/>
          <w:color w:val="7F7F7F"/>
          <w:sz w:val="27"/>
          <w:szCs w:val="27"/>
          <w:lang w:val="en-US"/>
        </w:rPr>
        <w:t xml:space="preserve">Commitment letter: Participation in the FRONTIERS project </w:t>
      </w:r>
      <w:r w:rsidR="00162B9B" w:rsidRPr="00162B9B">
        <w:rPr>
          <w:rFonts w:ascii="Montserrat" w:eastAsia="Montserrat" w:hAnsi="Montserrat" w:cs="Montserrat"/>
          <w:b/>
          <w:color w:val="7F7F7F"/>
          <w:sz w:val="27"/>
          <w:szCs w:val="27"/>
          <w:lang w:val="en-US"/>
        </w:rPr>
        <w:t>as Host</w:t>
      </w:r>
      <w:r w:rsidRPr="00162B9B">
        <w:rPr>
          <w:rFonts w:ascii="Montserrat" w:eastAsia="Montserrat" w:hAnsi="Montserrat" w:cs="Montserrat"/>
          <w:b/>
          <w:color w:val="7F7F7F"/>
          <w:sz w:val="27"/>
          <w:szCs w:val="27"/>
          <w:lang w:val="en-US"/>
        </w:rPr>
        <w:t xml:space="preserve"> institution </w:t>
      </w:r>
    </w:p>
    <w:p w14:paraId="50907BD4" w14:textId="39CB403E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445" w:right="1360" w:firstLine="19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>I undersigned [</w:t>
      </w:r>
      <w:r w:rsidRPr="00162B9B">
        <w:rPr>
          <w:rFonts w:ascii="Montserrat" w:eastAsia="Montserrat" w:hAnsi="Montserrat" w:cs="Montserrat"/>
          <w:i/>
          <w:color w:val="404040"/>
          <w:lang w:val="en-US"/>
        </w:rPr>
        <w:t>fist name surname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], in my quality of candidate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FRONTIERS manager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at [</w:t>
      </w:r>
      <w:r w:rsidRPr="00162B9B">
        <w:rPr>
          <w:rFonts w:ascii="Montserrat" w:eastAsia="Montserrat" w:hAnsi="Montserrat" w:cs="Montserrat"/>
          <w:i/>
          <w:color w:val="404040"/>
          <w:lang w:val="en-US"/>
        </w:rPr>
        <w:t>institution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], confirm that the research institution that I represent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will abide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by the ‘rules of engagement’ outlined by the FRONTIERS project in case it is selected as a host institution. </w:t>
      </w:r>
    </w:p>
    <w:p w14:paraId="51EB5040" w14:textId="77777777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450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>Specifically, [</w:t>
      </w:r>
      <w:r w:rsidRPr="00162B9B">
        <w:rPr>
          <w:rFonts w:ascii="Montserrat" w:eastAsia="Montserrat" w:hAnsi="Montserrat" w:cs="Montserrat"/>
          <w:i/>
          <w:color w:val="404040"/>
          <w:lang w:val="en-US"/>
        </w:rPr>
        <w:t>institution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] will fulfill the basic requirements listed below: </w:t>
      </w:r>
    </w:p>
    <w:p w14:paraId="4B729817" w14:textId="0466E838" w:rsidR="001424E6" w:rsidRPr="00162B9B" w:rsidRDefault="002212BE" w:rsidP="00162B9B">
      <w:pPr>
        <w:pStyle w:val="PargrafodaList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1350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Badge or other forms of credentials granting access to the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 xml:space="preserve">relevant </w:t>
      </w:r>
      <w:proofErr w:type="gramStart"/>
      <w:r w:rsidR="00162B9B" w:rsidRPr="00162B9B">
        <w:rPr>
          <w:rFonts w:ascii="Montserrat" w:eastAsia="Montserrat" w:hAnsi="Montserrat" w:cs="Montserrat"/>
          <w:color w:val="000000"/>
          <w:lang w:val="en-US"/>
        </w:rPr>
        <w:t>premises</w:t>
      </w:r>
      <w:r w:rsidRPr="00162B9B">
        <w:rPr>
          <w:rFonts w:ascii="Montserrat" w:eastAsia="Montserrat" w:hAnsi="Montserrat" w:cs="Montserrat"/>
          <w:color w:val="000000"/>
          <w:lang w:val="en-US"/>
        </w:rPr>
        <w:t>;</w:t>
      </w:r>
      <w:proofErr w:type="gramEnd"/>
      <w:r w:rsidRPr="00162B9B">
        <w:rPr>
          <w:rFonts w:ascii="Montserrat" w:eastAsia="Montserrat" w:hAnsi="Montserrat" w:cs="Montserrat"/>
          <w:color w:val="000000"/>
          <w:lang w:val="en-US"/>
        </w:rPr>
        <w:t xml:space="preserve">  </w:t>
      </w:r>
    </w:p>
    <w:p w14:paraId="06419954" w14:textId="2377C7DD" w:rsidR="001424E6" w:rsidRPr="00162B9B" w:rsidRDefault="002212BE" w:rsidP="00162B9B">
      <w:pPr>
        <w:pStyle w:val="PargrafodaList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352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Access to the cafeteria/canteen and other shared areas under the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same condition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as research </w:t>
      </w:r>
      <w:proofErr w:type="gramStart"/>
      <w:r w:rsidRPr="00162B9B">
        <w:rPr>
          <w:rFonts w:ascii="Montserrat" w:eastAsia="Montserrat" w:hAnsi="Montserrat" w:cs="Montserrat"/>
          <w:color w:val="000000"/>
          <w:lang w:val="en-US"/>
        </w:rPr>
        <w:t>staff;</w:t>
      </w:r>
      <w:proofErr w:type="gramEnd"/>
      <w:r w:rsidRPr="00162B9B">
        <w:rPr>
          <w:rFonts w:ascii="Montserrat" w:eastAsia="Montserrat" w:hAnsi="Montserrat" w:cs="Montserrat"/>
          <w:color w:val="000000"/>
          <w:lang w:val="en-US"/>
        </w:rPr>
        <w:t xml:space="preserve">  </w:t>
      </w:r>
    </w:p>
    <w:p w14:paraId="1DA3DF5E" w14:textId="0F3D8198" w:rsidR="001424E6" w:rsidRPr="00162B9B" w:rsidRDefault="002212BE" w:rsidP="00162B9B">
      <w:pPr>
        <w:pStyle w:val="PargrafodaList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>A working space with access to wi-</w:t>
      </w:r>
      <w:proofErr w:type="gramStart"/>
      <w:r w:rsidRPr="00162B9B">
        <w:rPr>
          <w:rFonts w:ascii="Montserrat" w:eastAsia="Montserrat" w:hAnsi="Montserrat" w:cs="Montserrat"/>
          <w:color w:val="000000"/>
          <w:lang w:val="en-US"/>
        </w:rPr>
        <w:t>fi;</w:t>
      </w:r>
      <w:proofErr w:type="gramEnd"/>
      <w:r w:rsidRPr="00162B9B">
        <w:rPr>
          <w:rFonts w:ascii="Montserrat" w:eastAsia="Montserrat" w:hAnsi="Montserrat" w:cs="Montserrat"/>
          <w:color w:val="000000"/>
          <w:lang w:val="en-US"/>
        </w:rPr>
        <w:t xml:space="preserve">  </w:t>
      </w:r>
    </w:p>
    <w:p w14:paraId="32BCE74D" w14:textId="30F13043" w:rsidR="001424E6" w:rsidRPr="00162B9B" w:rsidRDefault="002212BE" w:rsidP="00162B9B">
      <w:pPr>
        <w:pStyle w:val="PargrafodaList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1351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Access to the institution’s library and electronic resources (such as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books, scientific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journals and databases</w:t>
      </w:r>
      <w:proofErr w:type="gramStart"/>
      <w:r w:rsidRPr="00162B9B">
        <w:rPr>
          <w:rFonts w:ascii="Montserrat" w:eastAsia="Montserrat" w:hAnsi="Montserrat" w:cs="Montserrat"/>
          <w:color w:val="000000"/>
          <w:lang w:val="en-US"/>
        </w:rPr>
        <w:t>);</w:t>
      </w:r>
      <w:proofErr w:type="gramEnd"/>
      <w:r w:rsidRPr="00162B9B">
        <w:rPr>
          <w:rFonts w:ascii="Montserrat" w:eastAsia="Montserrat" w:hAnsi="Montserrat" w:cs="Montserrat"/>
          <w:color w:val="000000"/>
          <w:lang w:val="en-US"/>
        </w:rPr>
        <w:t xml:space="preserve">  </w:t>
      </w:r>
    </w:p>
    <w:p w14:paraId="140239C3" w14:textId="4F3C98B4" w:rsidR="001424E6" w:rsidRPr="00162B9B" w:rsidRDefault="002212BE" w:rsidP="00162B9B">
      <w:pPr>
        <w:pStyle w:val="PargrafodaLista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Access to all events and activities organized for the institution’s staff.  </w:t>
      </w:r>
    </w:p>
    <w:p w14:paraId="346E9793" w14:textId="76DBB91F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1445" w:right="1347" w:firstLine="2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We will support to the best of our possibilities the science journalist in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residence before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and during the residency, and discuss with them all possible ways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to organize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lectures, seminars, workshops, round tables on science journalism and science communication for the institution’s staff or for the wider public. </w:t>
      </w:r>
    </w:p>
    <w:p w14:paraId="11B9C2EA" w14:textId="6C138148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443" w:right="1348" w:firstLine="21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Before and during the residency, we will respect and cherish the independence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of the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science journalist in residence. We know and approve that science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journalists in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residence are not expected and will not provide any support for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institutional communication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and are not expected to provide coverage of the host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institution’s activities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, neither during nor after the residency, except for fulfilling their project and their own goals.  </w:t>
      </w:r>
    </w:p>
    <w:p w14:paraId="1E773CB0" w14:textId="17AAB06B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443" w:right="1352" w:firstLine="6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Should we decide to support more than one application in the same call, we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will inform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candidates about concurrent applications, warning them that only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one fellowship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can be awarded to each institution in each call.  </w:t>
      </w:r>
    </w:p>
    <w:p w14:paraId="5F5FEFD2" w14:textId="7706A46E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1450" w:right="1351" w:hanging="9"/>
        <w:jc w:val="both"/>
        <w:rPr>
          <w:rFonts w:ascii="Montserrat" w:eastAsia="Montserrat" w:hAnsi="Montserrat" w:cs="Montserrat"/>
          <w:color w:val="000000"/>
          <w:lang w:val="en-US"/>
        </w:rPr>
      </w:pPr>
      <w:r w:rsidRPr="00162B9B">
        <w:rPr>
          <w:rFonts w:ascii="Montserrat" w:eastAsia="Montserrat" w:hAnsi="Montserrat" w:cs="Montserrat"/>
          <w:color w:val="000000"/>
          <w:lang w:val="en-US"/>
        </w:rPr>
        <w:t xml:space="preserve">As FRONTIERS manager identified by the host institution, I will provide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feedback on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the residency as requested by the FRONTIERS staff, during and after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the residency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, via e-mail, phone and/or other communication tools. </w:t>
      </w:r>
    </w:p>
    <w:p w14:paraId="7E803ADB" w14:textId="3D31872F" w:rsidR="001424E6" w:rsidRPr="00162B9B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1445" w:right="1353" w:firstLine="19"/>
        <w:jc w:val="both"/>
        <w:rPr>
          <w:rFonts w:ascii="Montserrat" w:eastAsia="Montserrat" w:hAnsi="Montserrat" w:cs="Montserrat"/>
          <w:color w:val="000000"/>
          <w:lang w:val="en-US"/>
        </w:rPr>
      </w:pPr>
      <w:proofErr w:type="gramStart"/>
      <w:r w:rsidRPr="00162B9B">
        <w:rPr>
          <w:rFonts w:ascii="Montserrat" w:eastAsia="Montserrat" w:hAnsi="Montserrat" w:cs="Montserrat"/>
          <w:color w:val="000000"/>
          <w:lang w:val="en-US"/>
        </w:rPr>
        <w:t>In particular, I</w:t>
      </w:r>
      <w:proofErr w:type="gramEnd"/>
      <w:r w:rsidRPr="00162B9B">
        <w:rPr>
          <w:rFonts w:ascii="Montserrat" w:eastAsia="Montserrat" w:hAnsi="Montserrat" w:cs="Montserrat"/>
          <w:color w:val="000000"/>
          <w:lang w:val="en-US"/>
        </w:rPr>
        <w:t xml:space="preserve"> will report immediately to the FRONTIERS team all controversies </w:t>
      </w:r>
      <w:r w:rsidR="00162B9B" w:rsidRPr="00162B9B">
        <w:rPr>
          <w:rFonts w:ascii="Montserrat" w:eastAsia="Montserrat" w:hAnsi="Montserrat" w:cs="Montserrat"/>
          <w:color w:val="000000"/>
          <w:lang w:val="en-US"/>
        </w:rPr>
        <w:t>that should</w:t>
      </w:r>
      <w:r w:rsidRPr="00162B9B">
        <w:rPr>
          <w:rFonts w:ascii="Montserrat" w:eastAsia="Montserrat" w:hAnsi="Montserrat" w:cs="Montserrat"/>
          <w:color w:val="000000"/>
          <w:lang w:val="en-US"/>
        </w:rPr>
        <w:t xml:space="preserve"> arise with the science journalist in residence during or after the residency. </w:t>
      </w:r>
    </w:p>
    <w:p w14:paraId="185ECF29" w14:textId="77777777" w:rsidR="001424E6" w:rsidRDefault="002212BE" w:rsidP="00162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465"/>
        <w:jc w:val="both"/>
        <w:rPr>
          <w:rFonts w:ascii="Montserrat" w:eastAsia="Montserrat" w:hAnsi="Montserrat" w:cs="Montserrat"/>
          <w:color w:val="000000"/>
        </w:rPr>
      </w:pPr>
      <w:proofErr w:type="spellStart"/>
      <w:r>
        <w:rPr>
          <w:rFonts w:ascii="Montserrat" w:eastAsia="Montserrat" w:hAnsi="Montserrat" w:cs="Montserrat"/>
          <w:color w:val="000000"/>
        </w:rPr>
        <w:t>Name</w:t>
      </w:r>
      <w:proofErr w:type="spellEnd"/>
      <w:r>
        <w:rPr>
          <w:rFonts w:ascii="Montserrat" w:eastAsia="Montserrat" w:hAnsi="Montserrat" w:cs="Montserrat"/>
          <w:color w:val="000000"/>
        </w:rPr>
        <w:t xml:space="preserve">, Date, </w:t>
      </w:r>
      <w:proofErr w:type="spellStart"/>
      <w:r>
        <w:rPr>
          <w:rFonts w:ascii="Montserrat" w:eastAsia="Montserrat" w:hAnsi="Montserrat" w:cs="Montserrat"/>
          <w:color w:val="000000"/>
        </w:rPr>
        <w:t>Signature</w:t>
      </w:r>
      <w:proofErr w:type="spellEnd"/>
    </w:p>
    <w:p w14:paraId="083E0514" w14:textId="6122E4E5" w:rsidR="001424E6" w:rsidRDefault="00142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40" w:lineRule="auto"/>
        <w:ind w:right="1412"/>
        <w:jc w:val="right"/>
        <w:rPr>
          <w:rFonts w:ascii="Montserrat" w:eastAsia="Montserrat" w:hAnsi="Montserrat" w:cs="Montserrat"/>
          <w:color w:val="000000"/>
        </w:rPr>
        <w:sectPr w:rsidR="001424E6">
          <w:headerReference w:type="default" r:id="rId7"/>
          <w:type w:val="continuous"/>
          <w:pgSz w:w="11900" w:h="16820"/>
          <w:pgMar w:top="0" w:right="24" w:bottom="0" w:left="0" w:header="0" w:footer="720" w:gutter="0"/>
          <w:cols w:space="720" w:equalWidth="0">
            <w:col w:w="11875" w:space="0"/>
          </w:cols>
        </w:sectPr>
      </w:pPr>
    </w:p>
    <w:p w14:paraId="4E55980C" w14:textId="77777777" w:rsidR="001424E6" w:rsidRDefault="001424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Montserrat" w:eastAsia="Montserrat" w:hAnsi="Montserrat" w:cs="Montserrat"/>
          <w:color w:val="000000"/>
        </w:rPr>
      </w:pPr>
    </w:p>
    <w:sectPr w:rsidR="001424E6">
      <w:type w:val="continuous"/>
      <w:pgSz w:w="11900" w:h="16820"/>
      <w:pgMar w:top="0" w:right="1440" w:bottom="0" w:left="1440" w:header="0" w:footer="720" w:gutter="0"/>
      <w:cols w:space="720" w:equalWidth="0">
        <w:col w:w="90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13F9" w14:textId="77777777" w:rsidR="00162B9B" w:rsidRDefault="00162B9B" w:rsidP="00162B9B">
      <w:pPr>
        <w:spacing w:line="240" w:lineRule="auto"/>
      </w:pPr>
      <w:r>
        <w:separator/>
      </w:r>
    </w:p>
  </w:endnote>
  <w:endnote w:type="continuationSeparator" w:id="0">
    <w:p w14:paraId="7CC258CD" w14:textId="77777777" w:rsidR="00162B9B" w:rsidRDefault="00162B9B" w:rsidP="0016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F46E" w14:textId="77777777" w:rsidR="00162B9B" w:rsidRDefault="00162B9B" w:rsidP="00162B9B">
      <w:pPr>
        <w:spacing w:line="240" w:lineRule="auto"/>
      </w:pPr>
      <w:r>
        <w:separator/>
      </w:r>
    </w:p>
  </w:footnote>
  <w:footnote w:type="continuationSeparator" w:id="0">
    <w:p w14:paraId="42D58CCF" w14:textId="77777777" w:rsidR="00162B9B" w:rsidRDefault="00162B9B" w:rsidP="00162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71BB" w14:textId="2024A32A" w:rsidR="00162B9B" w:rsidRDefault="00162B9B" w:rsidP="00162B9B">
    <w:pPr>
      <w:pStyle w:val="Cabealho"/>
      <w:tabs>
        <w:tab w:val="clear" w:pos="4252"/>
        <w:tab w:val="clear" w:pos="8504"/>
        <w:tab w:val="left" w:pos="79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A54002A" wp14:editId="0A00FA1E">
          <wp:simplePos x="0" y="0"/>
          <wp:positionH relativeFrom="column">
            <wp:posOffset>4681889</wp:posOffset>
          </wp:positionH>
          <wp:positionV relativeFrom="paragraph">
            <wp:posOffset>25758</wp:posOffset>
          </wp:positionV>
          <wp:extent cx="2832085" cy="953036"/>
          <wp:effectExtent l="0" t="0" r="635" b="0"/>
          <wp:wrapSquare wrapText="bothSides"/>
          <wp:docPr id="1642213099" name="Imagem 1642213099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79085" name="Imagem 1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573" cy="96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6CA"/>
    <w:multiLevelType w:val="hybridMultilevel"/>
    <w:tmpl w:val="D6FABF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0675"/>
    <w:multiLevelType w:val="hybridMultilevel"/>
    <w:tmpl w:val="CE9483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E6C72"/>
    <w:multiLevelType w:val="hybridMultilevel"/>
    <w:tmpl w:val="369C8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16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D710D"/>
    <w:multiLevelType w:val="hybridMultilevel"/>
    <w:tmpl w:val="BB5645C4"/>
    <w:lvl w:ilvl="0" w:tplc="A190AD38">
      <w:numFmt w:val="bullet"/>
      <w:lvlText w:val="•"/>
      <w:lvlJc w:val="left"/>
      <w:pPr>
        <w:ind w:left="2171" w:hanging="360"/>
      </w:pPr>
      <w:rPr>
        <w:rFonts w:ascii="Noto Sans Symbols" w:eastAsia="Noto Sans Symbols" w:hAnsi="Noto Sans Symbols" w:cs="Noto Sans Symbols" w:hint="default"/>
      </w:rPr>
    </w:lvl>
    <w:lvl w:ilvl="1" w:tplc="08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num w:numId="1" w16cid:durableId="263731944">
    <w:abstractNumId w:val="0"/>
  </w:num>
  <w:num w:numId="2" w16cid:durableId="1629579536">
    <w:abstractNumId w:val="3"/>
  </w:num>
  <w:num w:numId="3" w16cid:durableId="1937207154">
    <w:abstractNumId w:val="1"/>
  </w:num>
  <w:num w:numId="4" w16cid:durableId="74071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E6"/>
    <w:rsid w:val="001424E6"/>
    <w:rsid w:val="00162B9B"/>
    <w:rsid w:val="002212BE"/>
    <w:rsid w:val="009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763A5"/>
  <w15:docId w15:val="{358A3CA7-A182-9442-AA18-6AD70258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162B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2B9B"/>
  </w:style>
  <w:style w:type="paragraph" w:styleId="Rodap">
    <w:name w:val="footer"/>
    <w:basedOn w:val="Normal"/>
    <w:link w:val="RodapCarter"/>
    <w:uiPriority w:val="99"/>
    <w:unhideWhenUsed/>
    <w:rsid w:val="00162B9B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2B9B"/>
  </w:style>
  <w:style w:type="paragraph" w:styleId="PargrafodaLista">
    <w:name w:val="List Paragraph"/>
    <w:basedOn w:val="Normal"/>
    <w:uiPriority w:val="34"/>
    <w:qFormat/>
    <w:rsid w:val="0016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Silva</cp:lastModifiedBy>
  <cp:revision>4</cp:revision>
  <dcterms:created xsi:type="dcterms:W3CDTF">2023-12-04T13:16:00Z</dcterms:created>
  <dcterms:modified xsi:type="dcterms:W3CDTF">2023-12-04T13:25:00Z</dcterms:modified>
</cp:coreProperties>
</file>